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041E4" w:rsidRDefault="00787DF3" w:rsidP="00A041E4">
      <w:pPr>
        <w:pStyle w:val="a00"/>
        <w:jc w:val="center"/>
        <w:divId w:val="487675217"/>
        <w:rPr>
          <w:rFonts w:eastAsia="Times New Roman"/>
          <w:b/>
        </w:rPr>
      </w:pPr>
      <w:bookmarkStart w:id="0" w:name="a1"/>
      <w:bookmarkEnd w:id="0"/>
      <w:r w:rsidRPr="00A041E4">
        <w:rPr>
          <w:rFonts w:eastAsia="Times New Roman"/>
          <w:b/>
        </w:rPr>
        <w:t>Об уплате экологического налога за захоронение отходов при </w:t>
      </w:r>
      <w:r w:rsidRPr="00A041E4">
        <w:rPr>
          <w:rFonts w:eastAsia="Times New Roman"/>
          <w:b/>
        </w:rPr>
        <w:t>изоляции слоев отходов и рекультивации нарушенных земель</w:t>
      </w:r>
    </w:p>
    <w:p w:rsidR="00A041E4" w:rsidRDefault="00A041E4" w:rsidP="00A041E4">
      <w:pPr>
        <w:pStyle w:val="nenorgpr"/>
        <w:divId w:val="487675217"/>
        <w:rPr>
          <w:b w:val="0"/>
        </w:rPr>
      </w:pPr>
    </w:p>
    <w:p w:rsidR="00A041E4" w:rsidRPr="00A041E4" w:rsidRDefault="00494B06" w:rsidP="00A041E4">
      <w:pPr>
        <w:pStyle w:val="nenorgpr"/>
        <w:divId w:val="487675217"/>
        <w:rPr>
          <w:b w:val="0"/>
        </w:rPr>
      </w:pPr>
      <w:r>
        <w:rPr>
          <w:b w:val="0"/>
        </w:rPr>
        <w:t>Р</w:t>
      </w:r>
      <w:r w:rsidRPr="00A041E4">
        <w:rPr>
          <w:b w:val="0"/>
        </w:rPr>
        <w:t xml:space="preserve">азъяснение </w:t>
      </w:r>
      <w:r w:rsidR="00A041E4">
        <w:rPr>
          <w:b w:val="0"/>
        </w:rPr>
        <w:t>М</w:t>
      </w:r>
      <w:r w:rsidR="00A041E4" w:rsidRPr="00A041E4">
        <w:rPr>
          <w:b w:val="0"/>
        </w:rPr>
        <w:t xml:space="preserve">инистерства природных ресурсов и охраны окружающей среды </w:t>
      </w:r>
      <w:r w:rsidR="00A041E4">
        <w:rPr>
          <w:b w:val="0"/>
        </w:rPr>
        <w:t>Республики Беларусь, М</w:t>
      </w:r>
      <w:r w:rsidR="00A041E4" w:rsidRPr="00A041E4">
        <w:rPr>
          <w:b w:val="0"/>
        </w:rPr>
        <w:t xml:space="preserve">инистерства по налогам и сборам </w:t>
      </w:r>
      <w:r w:rsidR="00A041E4">
        <w:rPr>
          <w:b w:val="0"/>
        </w:rPr>
        <w:t>Р</w:t>
      </w:r>
      <w:r w:rsidR="00A041E4" w:rsidRPr="00A041E4">
        <w:rPr>
          <w:b w:val="0"/>
        </w:rPr>
        <w:t>еспублики </w:t>
      </w:r>
      <w:r w:rsidR="00A041E4">
        <w:rPr>
          <w:b w:val="0"/>
        </w:rPr>
        <w:t>Б</w:t>
      </w:r>
      <w:r w:rsidR="00A041E4" w:rsidRPr="00A041E4">
        <w:rPr>
          <w:b w:val="0"/>
        </w:rPr>
        <w:t>еларусь</w:t>
      </w:r>
    </w:p>
    <w:p w:rsidR="00A041E4" w:rsidRPr="00A041E4" w:rsidRDefault="00A041E4" w:rsidP="00A041E4">
      <w:pPr>
        <w:pStyle w:val="nendate"/>
        <w:divId w:val="487675217"/>
      </w:pPr>
      <w:r w:rsidRPr="00A041E4">
        <w:t>15 ноября 2021 г. № 10-1-11/5493/2-2-14/06658</w:t>
      </w:r>
    </w:p>
    <w:p w:rsidR="00000000" w:rsidRDefault="00787DF3">
      <w:pPr>
        <w:pStyle w:val="justify"/>
        <w:divId w:val="487675217"/>
      </w:pPr>
      <w:r>
        <w:t>Министерство природных ресурсов и охраны окружающей среды Республики Беларусь и Министерство по налогам и сборам Республики Беларусь разъясняют следующее.</w:t>
      </w:r>
    </w:p>
    <w:p w:rsidR="00000000" w:rsidRDefault="00787DF3">
      <w:pPr>
        <w:pStyle w:val="justify"/>
        <w:divId w:val="487675217"/>
      </w:pPr>
      <w:r>
        <w:t>В настоящее время субъектами хозяйствования,</w:t>
      </w:r>
      <w:r>
        <w:t xml:space="preserve"> эксплуатирующими объекты захоронения твердых коммунальных отходов (далее - объекты захоронения отходов), активно принимаются отходы производства (строительных отходы, отходы минерального происхождения) от сторонних организаций с целью дальнейшего их испол</w:t>
      </w:r>
      <w:r>
        <w:t>ьзования в качестве изолирующего материала при захоронении отходов на таких объектах.</w:t>
      </w:r>
    </w:p>
    <w:p w:rsidR="00000000" w:rsidRDefault="00787DF3">
      <w:pPr>
        <w:pStyle w:val="justify"/>
        <w:divId w:val="487675217"/>
      </w:pPr>
      <w:r>
        <w:t xml:space="preserve">Согласно </w:t>
      </w:r>
      <w:hyperlink r:id="rId4" w:anchor="a120" w:tooltip="+" w:history="1">
        <w:r w:rsidRPr="00A041E4">
          <w:rPr>
            <w:rStyle w:val="a3"/>
            <w:color w:val="auto"/>
            <w:u w:val="none"/>
          </w:rPr>
          <w:t>пункту 4</w:t>
        </w:r>
      </w:hyperlink>
      <w:r>
        <w:t xml:space="preserve"> статьи 1 Закона Республики Беларусь от 20 июля 2007 г. № 271-З «Об обращении с отходами</w:t>
      </w:r>
      <w:r>
        <w:t>»</w:t>
      </w:r>
      <w:r>
        <w:t xml:space="preserve"> (далее -</w:t>
      </w:r>
      <w:r>
        <w:t xml:space="preserve"> Закон) захоронение отходов - изоляция отходов на объектах захоронения отходов в целях предотвращения вредного воздействия отходов, продуктов их взаимодействия и (или) разложения на окружающую среду, здоровье граждан, имущество, находящееся в собственности</w:t>
      </w:r>
      <w:r>
        <w:t xml:space="preserve"> государства, имущество юридических и физических лиц, не предусматривающая возможности их дальнейшего использования.</w:t>
      </w:r>
    </w:p>
    <w:p w:rsidR="00000000" w:rsidRDefault="00787DF3">
      <w:pPr>
        <w:pStyle w:val="justify"/>
        <w:divId w:val="487675217"/>
      </w:pPr>
      <w:r>
        <w:t xml:space="preserve">Захоронение отходов на объектах захоронения отходов осуществляется в соответствии с требованиями технического </w:t>
      </w:r>
      <w:hyperlink r:id="rId5" w:anchor="a29" w:tooltip="+" w:history="1">
        <w:r w:rsidRPr="00A041E4">
          <w:rPr>
            <w:rStyle w:val="a3"/>
            <w:color w:val="auto"/>
            <w:u w:val="none"/>
          </w:rPr>
          <w:t>кодекса</w:t>
        </w:r>
      </w:hyperlink>
      <w:r w:rsidRPr="00A041E4">
        <w:t xml:space="preserve"> </w:t>
      </w:r>
      <w:r>
        <w:t>установившейся практики ТКП 17.11-02-2009 (02120/02030) «Охрана окружающей среды и природопользование. Отходы. Обращение с коммунальными отходами. Объекты захоронения твердых коммунальных отходов. Правила проектирования и эк</w:t>
      </w:r>
      <w:r>
        <w:t>сплуатации», утвержденного постановлением Министерства жилищно-коммунального хозяйства Республики Беларусь и Министерства природных ресурсов и охраны окружающей среды Республики Беларусь от 25 апреля 2009 г. № 20/5-Т (далее - ТКП).</w:t>
      </w:r>
    </w:p>
    <w:p w:rsidR="00000000" w:rsidRDefault="00787DF3">
      <w:pPr>
        <w:pStyle w:val="justify"/>
        <w:divId w:val="487675217"/>
      </w:pPr>
      <w:r>
        <w:t>Согласно пунктам </w:t>
      </w:r>
      <w:hyperlink r:id="rId6" w:anchor="a37" w:tooltip="+" w:history="1">
        <w:r w:rsidRPr="00A041E4">
          <w:rPr>
            <w:rStyle w:val="a3"/>
            <w:color w:val="auto"/>
            <w:u w:val="none"/>
          </w:rPr>
          <w:t>5.4.10</w:t>
        </w:r>
      </w:hyperlink>
      <w:r w:rsidRPr="00A041E4">
        <w:t xml:space="preserve"> </w:t>
      </w:r>
      <w:r>
        <w:t>и 5.4.11 ТКП для изоляции слоев отходов по согласованию с территориальными органами государственного санитарного надзора могут быть использованы принимаемые на объект захоронения отходов неопасные отходы</w:t>
      </w:r>
      <w:r>
        <w:t xml:space="preserve"> и отходы производства четвертого класса опасности. Отходы производства IV класса опасности, принимаемые на объекты захоронения отходов без ограничений в количественном отношении и используемые в качестве изолирующего материала, должны:</w:t>
      </w:r>
    </w:p>
    <w:p w:rsidR="00000000" w:rsidRDefault="00787DF3">
      <w:pPr>
        <w:pStyle w:val="justify"/>
        <w:divId w:val="487675217"/>
      </w:pPr>
      <w:r>
        <w:t xml:space="preserve">- иметь однородную </w:t>
      </w:r>
      <w:r>
        <w:t>структуру с размером фракций менее 250 мм;</w:t>
      </w:r>
    </w:p>
    <w:p w:rsidR="00000000" w:rsidRDefault="00787DF3">
      <w:pPr>
        <w:pStyle w:val="justify"/>
        <w:divId w:val="487675217"/>
      </w:pPr>
      <w:r>
        <w:t>- содержать в водной вытяжке (1 л воды на 1 кг отходов) токсичных веществ на уровне фильтрата и твердых коммунальных отходов;</w:t>
      </w:r>
    </w:p>
    <w:p w:rsidR="00000000" w:rsidRDefault="00787DF3">
      <w:pPr>
        <w:pStyle w:val="justify"/>
        <w:divId w:val="487675217"/>
      </w:pPr>
      <w:r>
        <w:t xml:space="preserve">- иметь </w:t>
      </w:r>
      <w:proofErr w:type="spellStart"/>
      <w:r>
        <w:t>БПК</w:t>
      </w:r>
      <w:r>
        <w:rPr>
          <w:vertAlign w:val="subscript"/>
        </w:rPr>
        <w:t>полн</w:t>
      </w:r>
      <w:proofErr w:type="spellEnd"/>
      <w:r>
        <w:rPr>
          <w:vertAlign w:val="subscript"/>
        </w:rPr>
        <w:t xml:space="preserve">. </w:t>
      </w:r>
      <w:r>
        <w:t>(полное биохимическое потребление кислорода) и ХПК (химическое потребл</w:t>
      </w:r>
      <w:r>
        <w:t>ение кислорода) не выше 300 мг/дм</w:t>
      </w:r>
      <w:r>
        <w:rPr>
          <w:vertAlign w:val="superscript"/>
        </w:rPr>
        <w:t>3</w:t>
      </w:r>
      <w:r>
        <w:t xml:space="preserve"> O</w:t>
      </w:r>
      <w:r>
        <w:rPr>
          <w:vertAlign w:val="subscript"/>
        </w:rPr>
        <w:t>2</w:t>
      </w:r>
      <w:r>
        <w:t>.</w:t>
      </w:r>
    </w:p>
    <w:p w:rsidR="00000000" w:rsidRDefault="00787DF3">
      <w:pPr>
        <w:pStyle w:val="justify"/>
        <w:divId w:val="487675217"/>
      </w:pPr>
      <w:r>
        <w:t xml:space="preserve">Также </w:t>
      </w:r>
      <w:hyperlink r:id="rId7" w:anchor="a43" w:tooltip="+" w:history="1">
        <w:r w:rsidRPr="00A041E4">
          <w:rPr>
            <w:rStyle w:val="a3"/>
            <w:color w:val="auto"/>
            <w:u w:val="none"/>
          </w:rPr>
          <w:t>пунктом 5.4.6</w:t>
        </w:r>
      </w:hyperlink>
      <w:r>
        <w:t xml:space="preserve"> ТКП предусмотрено, что в качестве промежуточных изолирующих слоев могут использоваться инертные промышленные отходы.</w:t>
      </w:r>
    </w:p>
    <w:p w:rsidR="00000000" w:rsidRDefault="00787DF3">
      <w:pPr>
        <w:pStyle w:val="justify"/>
        <w:divId w:val="487675217"/>
      </w:pPr>
      <w:r>
        <w:lastRenderedPageBreak/>
        <w:t>Таким образом, применение о</w:t>
      </w:r>
      <w:r>
        <w:t>тходов производства для изоляции слоев отходов при захоронении отходов на объектах захоронения отходов предусмотрено нормативными правовыми актами и может являться частью технологического процесса захоронения отходов при соблюдении требований, изложенных в</w:t>
      </w:r>
      <w:r>
        <w:t xml:space="preserve"> пунктах </w:t>
      </w:r>
      <w:hyperlink r:id="rId8" w:anchor="a43" w:tooltip="+" w:history="1">
        <w:r w:rsidRPr="00A041E4">
          <w:rPr>
            <w:rStyle w:val="a3"/>
            <w:color w:val="auto"/>
            <w:u w:val="none"/>
          </w:rPr>
          <w:t>5.4.6</w:t>
        </w:r>
      </w:hyperlink>
      <w:r w:rsidRPr="00A041E4">
        <w:t xml:space="preserve">, </w:t>
      </w:r>
      <w:hyperlink r:id="rId9" w:anchor="a37" w:tooltip="+" w:history="1">
        <w:r w:rsidRPr="00A041E4">
          <w:rPr>
            <w:rStyle w:val="a3"/>
            <w:color w:val="auto"/>
            <w:u w:val="none"/>
          </w:rPr>
          <w:t>5.4.10</w:t>
        </w:r>
      </w:hyperlink>
      <w:r w:rsidRPr="00A041E4">
        <w:t xml:space="preserve"> </w:t>
      </w:r>
      <w:r>
        <w:t>и 5.4.11 ТКП.</w:t>
      </w:r>
    </w:p>
    <w:p w:rsidR="00000000" w:rsidRDefault="00787DF3">
      <w:pPr>
        <w:pStyle w:val="justify"/>
        <w:divId w:val="487675217"/>
      </w:pPr>
      <w:r>
        <w:t>Прием субъектами хозяйствования, осуществляющими эксплуатацию объектов захоронения отходов, для использования в к</w:t>
      </w:r>
      <w:r>
        <w:t xml:space="preserve">ачестве изолирующего материала отходов производства на объектах захоронения отходов, не соответствующих вышеуказанным требованиям, не допускается и является нарушением </w:t>
      </w:r>
      <w:hyperlink r:id="rId10" w:anchor="a388" w:tooltip="+" w:history="1">
        <w:r w:rsidRPr="00A041E4">
          <w:rPr>
            <w:rStyle w:val="a3"/>
            <w:color w:val="auto"/>
            <w:u w:val="none"/>
          </w:rPr>
          <w:t>пункта 4</w:t>
        </w:r>
      </w:hyperlink>
      <w:r>
        <w:t xml:space="preserve"> статьи 31 Закона.</w:t>
      </w:r>
    </w:p>
    <w:p w:rsidR="00000000" w:rsidRDefault="00787DF3">
      <w:pPr>
        <w:pStyle w:val="justify"/>
        <w:divId w:val="487675217"/>
      </w:pPr>
      <w:r>
        <w:t>При эт</w:t>
      </w:r>
      <w:r>
        <w:t>ом использование на объектах захоронения отходов в качестве изолирующего материала отходов производства, не соответствующих требованиям нормативных правовых актов, в том числе технических, рассматривается как захоронение отходов производства.</w:t>
      </w:r>
    </w:p>
    <w:p w:rsidR="00000000" w:rsidRDefault="00787DF3">
      <w:pPr>
        <w:pStyle w:val="justify"/>
        <w:divId w:val="487675217"/>
      </w:pPr>
      <w:r>
        <w:t xml:space="preserve">За нарушение </w:t>
      </w:r>
      <w:r>
        <w:t xml:space="preserve">законодательства об обращении с отходами предусмотрена административная ответственность в соответствии со </w:t>
      </w:r>
      <w:hyperlink r:id="rId11" w:anchor="a248" w:tooltip="+" w:history="1">
        <w:r w:rsidRPr="00A041E4">
          <w:rPr>
            <w:rStyle w:val="a3"/>
            <w:color w:val="auto"/>
            <w:u w:val="none"/>
          </w:rPr>
          <w:t>статьей 16.44</w:t>
        </w:r>
      </w:hyperlink>
      <w:r>
        <w:t xml:space="preserve"> Кодекса Республики Беларусь об административных нарушениях.</w:t>
      </w:r>
    </w:p>
    <w:p w:rsidR="00000000" w:rsidRDefault="00787DF3">
      <w:pPr>
        <w:pStyle w:val="justify"/>
        <w:divId w:val="487675217"/>
      </w:pPr>
      <w:r>
        <w:t xml:space="preserve">В соответствии с </w:t>
      </w:r>
      <w:hyperlink r:id="rId12" w:anchor="a9906" w:tooltip="+" w:history="1">
        <w:r w:rsidRPr="00A041E4">
          <w:rPr>
            <w:rStyle w:val="a3"/>
            <w:color w:val="auto"/>
            <w:u w:val="none"/>
          </w:rPr>
          <w:t>подпунктом 1.4</w:t>
        </w:r>
      </w:hyperlink>
      <w:r>
        <w:t xml:space="preserve"> пункта 1 статьей 247 Налогового кодекса Республики Беларусь (далее - НК) объектом налогообложения экологическим налогом признается захоронение отходов производства. На основании </w:t>
      </w:r>
      <w:hyperlink r:id="rId13" w:anchor="a9826" w:tooltip="+" w:history="1">
        <w:r w:rsidRPr="00A041E4">
          <w:rPr>
            <w:rStyle w:val="a3"/>
            <w:color w:val="auto"/>
            <w:u w:val="none"/>
          </w:rPr>
          <w:t>пункта 4</w:t>
        </w:r>
      </w:hyperlink>
      <w:r w:rsidRPr="00A041E4">
        <w:t xml:space="preserve"> </w:t>
      </w:r>
      <w:r>
        <w:t>статьи 251 НК экологический налог за захоронение отходов производства на объектах захоронения отходов исчисляется владельцами объектов захоронения отходов и предъявляется ими собственникам отходов про</w:t>
      </w:r>
      <w:r>
        <w:t>изводства дополнительно к тарифам за захоронение отходов производства на объектах захоронения отходов.</w:t>
      </w:r>
    </w:p>
    <w:p w:rsidR="00000000" w:rsidRDefault="00787DF3">
      <w:pPr>
        <w:pStyle w:val="justify"/>
        <w:divId w:val="487675217"/>
      </w:pPr>
      <w:r>
        <w:t>Таким образом, владельцы объектов захоронения отходов при получении от собственников отходов производства для использования в качестве изолирующего матер</w:t>
      </w:r>
      <w:r>
        <w:t>иала при захоронении отходов, не соответствующих требованиям нормативных правовых актов, в том числе технических, должны исчислить и предъявить собственникам таких отходов производства экологический налог за захоронение отходов производства на объектах зах</w:t>
      </w:r>
      <w:r>
        <w:t xml:space="preserve">оронения отходов в порядке, установленном </w:t>
      </w:r>
      <w:hyperlink r:id="rId14" w:anchor="a2566" w:tooltip="+" w:history="1">
        <w:r w:rsidRPr="00A041E4">
          <w:rPr>
            <w:rStyle w:val="a3"/>
            <w:color w:val="auto"/>
            <w:u w:val="none"/>
          </w:rPr>
          <w:t>НК</w:t>
        </w:r>
      </w:hyperlink>
      <w:r>
        <w:t>.</w:t>
      </w:r>
    </w:p>
    <w:p w:rsidR="00000000" w:rsidRDefault="00787DF3">
      <w:pPr>
        <w:pStyle w:val="justify"/>
        <w:divId w:val="487675217"/>
      </w:pPr>
      <w:r>
        <w:t xml:space="preserve">Касательно рекультивации нарушенных земель необходимо отметить, что требования по охране земель (почв) при рекультивации нарушенных земель определены в </w:t>
      </w:r>
      <w:hyperlink r:id="rId15" w:anchor="a8" w:tooltip="+" w:history="1">
        <w:r w:rsidRPr="00A041E4">
          <w:rPr>
            <w:rStyle w:val="a3"/>
            <w:color w:val="auto"/>
            <w:u w:val="none"/>
          </w:rPr>
          <w:t>разделе 6</w:t>
        </w:r>
      </w:hyperlink>
      <w:r w:rsidRPr="00A041E4">
        <w:t xml:space="preserve"> </w:t>
      </w:r>
      <w:r>
        <w:t xml:space="preserve">экологических норм и правил </w:t>
      </w:r>
      <w:proofErr w:type="spellStart"/>
      <w:r>
        <w:t>ЭкоНиП</w:t>
      </w:r>
      <w:proofErr w:type="spellEnd"/>
      <w:r>
        <w:t xml:space="preserve"> 17.01.06-001-2017 «Охрана окружающей среды и природопользование. Требования экологической безопасности», которые являются обязательными для применения всеми юриди</w:t>
      </w:r>
      <w:r>
        <w:t>ческими и физическими лицами, в том числе индивидуальными предпринимателями, осуществляющими планирование, проектирование и (или) ведение хозяйственной и иной деятельности.</w:t>
      </w:r>
    </w:p>
    <w:p w:rsidR="00000000" w:rsidRDefault="00787DF3">
      <w:pPr>
        <w:pStyle w:val="justify"/>
        <w:divId w:val="487675217"/>
      </w:pPr>
      <w:r>
        <w:t xml:space="preserve">Согласно </w:t>
      </w:r>
      <w:hyperlink r:id="rId16" w:anchor="a278" w:tooltip="+" w:history="1">
        <w:r w:rsidRPr="00A041E4">
          <w:rPr>
            <w:rStyle w:val="a3"/>
            <w:color w:val="auto"/>
            <w:u w:val="none"/>
          </w:rPr>
          <w:t>пункту 6.9</w:t>
        </w:r>
      </w:hyperlink>
      <w:r>
        <w:t xml:space="preserve"> </w:t>
      </w:r>
      <w:proofErr w:type="spellStart"/>
      <w:r>
        <w:t>ЭкоНиП</w:t>
      </w:r>
      <w:proofErr w:type="spellEnd"/>
      <w:r>
        <w:t xml:space="preserve"> 1</w:t>
      </w:r>
      <w:r>
        <w:t xml:space="preserve">7.01.06-001-2017 для проведения технической рекультивации используются только малопригодные и непригодные грунты (с внутренних отвалов вскрышных пород). Применение отходов для рекультивации нарушенных земель требованиями указанных </w:t>
      </w:r>
      <w:hyperlink r:id="rId17" w:anchor="a2" w:tooltip="+" w:history="1">
        <w:proofErr w:type="spellStart"/>
        <w:r w:rsidRPr="00A041E4">
          <w:rPr>
            <w:rStyle w:val="a3"/>
            <w:color w:val="auto"/>
            <w:u w:val="none"/>
          </w:rPr>
          <w:t>ЭкоНиП</w:t>
        </w:r>
        <w:proofErr w:type="spellEnd"/>
      </w:hyperlink>
      <w:r>
        <w:t xml:space="preserve"> не предусмотрено.</w:t>
      </w:r>
    </w:p>
    <w:p w:rsidR="00000000" w:rsidRPr="005A3407" w:rsidRDefault="00787DF3" w:rsidP="005A3407">
      <w:pPr>
        <w:pStyle w:val="justify"/>
        <w:divId w:val="487675217"/>
        <w:rPr>
          <w:i/>
        </w:rPr>
      </w:pPr>
      <w:r>
        <w:t> </w:t>
      </w:r>
      <w:bookmarkStart w:id="1" w:name="_GoBack"/>
      <w:proofErr w:type="spellStart"/>
      <w:r w:rsidRPr="005A3407">
        <w:rPr>
          <w:i/>
        </w:rPr>
        <w:t>Справочно</w:t>
      </w:r>
      <w:proofErr w:type="spellEnd"/>
      <w:r w:rsidRPr="005A3407">
        <w:rPr>
          <w:i/>
        </w:rPr>
        <w:t xml:space="preserve">: К малопригодным грунтам относятся </w:t>
      </w:r>
      <w:proofErr w:type="spellStart"/>
      <w:r w:rsidRPr="005A3407">
        <w:rPr>
          <w:i/>
        </w:rPr>
        <w:t>быстровыветривающиеся</w:t>
      </w:r>
      <w:proofErr w:type="spellEnd"/>
      <w:r w:rsidRPr="005A3407">
        <w:rPr>
          <w:i/>
        </w:rPr>
        <w:t xml:space="preserve"> сцементированные осадочные породы, несвязные несцементированные осадочные породы, которые не содержат примеси гумуса (песчаники, глины о</w:t>
      </w:r>
      <w:r w:rsidRPr="005A3407">
        <w:rPr>
          <w:i/>
        </w:rPr>
        <w:t xml:space="preserve">зерно-ледниковые, моренные, ленточные супеси и суглинки моренные со значительной 10 % примесью валунно-галечного материала, пески </w:t>
      </w:r>
      <w:proofErr w:type="spellStart"/>
      <w:r w:rsidRPr="005A3407">
        <w:rPr>
          <w:i/>
        </w:rPr>
        <w:t>золовые</w:t>
      </w:r>
      <w:proofErr w:type="spellEnd"/>
      <w:r w:rsidRPr="005A3407">
        <w:rPr>
          <w:i/>
        </w:rPr>
        <w:t>, водно-ледниковые, моренные, аллювиальные, озерные, песчано-гравийные и гравийно-песчаные породы, известняки, доломиты</w:t>
      </w:r>
      <w:r w:rsidRPr="005A3407">
        <w:rPr>
          <w:i/>
        </w:rPr>
        <w:t xml:space="preserve">), а также кислые связные </w:t>
      </w:r>
      <w:r w:rsidRPr="005A3407">
        <w:rPr>
          <w:i/>
        </w:rPr>
        <w:lastRenderedPageBreak/>
        <w:t xml:space="preserve">несцементированные породы с кислотностью </w:t>
      </w:r>
      <w:proofErr w:type="spellStart"/>
      <w:r w:rsidRPr="005A3407">
        <w:rPr>
          <w:i/>
        </w:rPr>
        <w:t>pH</w:t>
      </w:r>
      <w:proofErr w:type="spellEnd"/>
      <w:r w:rsidRPr="005A3407">
        <w:rPr>
          <w:i/>
        </w:rPr>
        <w:t> = 3,5-5,5, связные несцементированные породы, содержащие легкорастворимые соли, гипс, карбонаты.</w:t>
      </w:r>
    </w:p>
    <w:p w:rsidR="00000000" w:rsidRPr="005A3407" w:rsidRDefault="00787DF3">
      <w:pPr>
        <w:pStyle w:val="justify"/>
        <w:divId w:val="487675217"/>
        <w:rPr>
          <w:i/>
        </w:rPr>
      </w:pPr>
      <w:r w:rsidRPr="005A3407">
        <w:rPr>
          <w:i/>
        </w:rPr>
        <w:t>К непригодным грунтам относятся несвязные несцементированные осадочные породы (граниты, д</w:t>
      </w:r>
      <w:r w:rsidRPr="005A3407">
        <w:rPr>
          <w:i/>
        </w:rPr>
        <w:t>иориты, базальты, гнейсы, кристаллические сланцы, песчаники, кварциты, доломиты, известняки крепкие, конгломераты), песчано-гравийные и гравийно-песчаные породы со значительным (более 10 %) содержанием валунов, галечники, а также породы содержащие сульфиды</w:t>
      </w:r>
      <w:r w:rsidRPr="005A3407">
        <w:rPr>
          <w:i/>
        </w:rPr>
        <w:t>, легкорастворимые соли, гипс, карбонаты.</w:t>
      </w:r>
    </w:p>
    <w:bookmarkEnd w:id="1"/>
    <w:p w:rsidR="00000000" w:rsidRDefault="00787DF3" w:rsidP="005A3407">
      <w:pPr>
        <w:pStyle w:val="justify"/>
        <w:divId w:val="487675217"/>
      </w:pPr>
      <w:r>
        <w:t> </w:t>
      </w:r>
      <w:r>
        <w:t xml:space="preserve">Также следует обратить внимание, что 20 апреля 2021 г. постановлением Министерства природных ресурсов и охраны окружающей среды Республики Беларусь от 08.02.2021 № 1-Т введено в действие </w:t>
      </w:r>
      <w:hyperlink r:id="rId18" w:anchor="a3" w:tooltip="+" w:history="1">
        <w:r w:rsidRPr="00A041E4">
          <w:rPr>
            <w:rStyle w:val="a3"/>
            <w:color w:val="auto"/>
            <w:u w:val="none"/>
          </w:rPr>
          <w:t>изменение № 3</w:t>
        </w:r>
      </w:hyperlink>
      <w:r>
        <w:t xml:space="preserve"> ТКП 17.11-10-2014 (02120) «Охрана окружающей среды и природопользование. Отходы. Правила обращения со строительными отходами», в соответствии с которым получение из строительных отходов материалов, используемых для р</w:t>
      </w:r>
      <w:r>
        <w:t>екультивации карьеров, осуществляется на объекте по использованию отходов, созданном в соответствии с законодательством. На территорию карьера доставляется материал, полученный из отходов, который в дальнейшем используется для рекультивации и по своим физи</w:t>
      </w:r>
      <w:r>
        <w:t>ко-химическим характеристикам должен быть аналогичен малопригодным и непригодным грунтам и иметь однородную структуру с размером фракций менее 250 мм.</w:t>
      </w:r>
    </w:p>
    <w:p w:rsidR="00000000" w:rsidRDefault="00787DF3">
      <w:pPr>
        <w:pStyle w:val="justify"/>
        <w:divId w:val="487675217"/>
      </w:pPr>
      <w: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86"/>
        <w:gridCol w:w="2386"/>
      </w:tblGrid>
      <w:tr w:rsidR="00000000" w:rsidRPr="00D16332">
        <w:trPr>
          <w:divId w:val="487675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16332" w:rsidRDefault="00787DF3">
            <w:pPr>
              <w:pStyle w:val="nendolzh"/>
              <w:rPr>
                <w:b w:val="0"/>
                <w:i w:val="0"/>
              </w:rPr>
            </w:pPr>
            <w:r w:rsidRPr="00D16332">
              <w:rPr>
                <w:b w:val="0"/>
                <w:i w:val="0"/>
              </w:rPr>
              <w:t>Заместитель Министра природных ресурсов</w:t>
            </w:r>
            <w:r w:rsidRPr="00D16332">
              <w:rPr>
                <w:b w:val="0"/>
                <w:i w:val="0"/>
              </w:rPr>
              <w:br/>
              <w:t>и охраны окружающей среды</w:t>
            </w:r>
            <w:r w:rsidRPr="00D16332">
              <w:rPr>
                <w:b w:val="0"/>
                <w:i w:val="0"/>
              </w:rPr>
              <w:br/>
              <w:t>Республики 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Pr="00D16332" w:rsidRDefault="00787DF3" w:rsidP="00D16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16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А.В.Горошко</w:t>
            </w:r>
            <w:proofErr w:type="spellEnd"/>
          </w:p>
        </w:tc>
      </w:tr>
      <w:tr w:rsidR="00000000" w:rsidRPr="00D16332">
        <w:trPr>
          <w:divId w:val="487675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16332" w:rsidRDefault="00787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16332" w:rsidRDefault="00787D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 w:rsidRPr="00D16332">
        <w:trPr>
          <w:divId w:val="4876752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Pr="00D16332" w:rsidRDefault="00787DF3">
            <w:pPr>
              <w:pStyle w:val="nendolzh"/>
              <w:rPr>
                <w:b w:val="0"/>
                <w:i w:val="0"/>
              </w:rPr>
            </w:pPr>
            <w:r w:rsidRPr="00D16332">
              <w:rPr>
                <w:b w:val="0"/>
                <w:i w:val="0"/>
              </w:rPr>
              <w:t>Заместитель Министра по налогам и сборам</w:t>
            </w:r>
            <w:r w:rsidRPr="00D16332">
              <w:rPr>
                <w:b w:val="0"/>
                <w:i w:val="0"/>
              </w:rPr>
              <w:br/>
              <w:t>Республики 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Pr="00D16332" w:rsidRDefault="00787DF3" w:rsidP="00D1633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163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Э.А.Селицкая</w:t>
            </w:r>
            <w:proofErr w:type="spellEnd"/>
          </w:p>
        </w:tc>
      </w:tr>
    </w:tbl>
    <w:p w:rsidR="00000000" w:rsidRDefault="00787DF3">
      <w:pPr>
        <w:pStyle w:val="justify"/>
        <w:divId w:val="487675217"/>
      </w:pPr>
      <w:r>
        <w:t> </w:t>
      </w:r>
    </w:p>
    <w:p w:rsidR="00787DF3" w:rsidRDefault="00787DF3">
      <w:pPr>
        <w:divId w:val="487675217"/>
        <w:rPr>
          <w:rFonts w:eastAsia="Times New Roman"/>
        </w:rPr>
      </w:pPr>
    </w:p>
    <w:sectPr w:rsidR="00787DF3" w:rsidSect="00A041E4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3"/>
    <w:rsid w:val="003C5023"/>
    <w:rsid w:val="004804AE"/>
    <w:rsid w:val="00494B06"/>
    <w:rsid w:val="005A3407"/>
    <w:rsid w:val="00787DF3"/>
    <w:rsid w:val="00A041E4"/>
    <w:rsid w:val="00D1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0FE3DD-8F94-4C17-98A0-016C52DC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msit">
    <w:name w:val="prim_sit"/>
    <w:basedOn w:val="a"/>
    <w:pPr>
      <w:spacing w:before="160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nenorgpr">
    <w:name w:val="nen_orgpr"/>
    <w:basedOn w:val="a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nendolzh">
    <w:name w:val="nen_dolzh"/>
    <w:basedOn w:val="a"/>
    <w:pPr>
      <w:spacing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insettext11">
    <w:name w:val="inset_text_11"/>
    <w:basedOn w:val="a"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521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tx.dll%3fd=164665&amp;a=43" TargetMode="External"/><Relationship Id="rId13" Type="http://schemas.openxmlformats.org/officeDocument/2006/relationships/hyperlink" Target="file:///C:\Users\1\Downloads\tx.dll%3fd=177636&amp;a=9826" TargetMode="External"/><Relationship Id="rId18" Type="http://schemas.openxmlformats.org/officeDocument/2006/relationships/hyperlink" Target="file:///C:\Users\1\Downloads\tx.dll%3fd=451183&amp;a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Downloads\tx.dll%3fd=164665&amp;a=43" TargetMode="External"/><Relationship Id="rId12" Type="http://schemas.openxmlformats.org/officeDocument/2006/relationships/hyperlink" Target="file:///C:\Users\1\Downloads\tx.dll%3fd=177636&amp;a=9906" TargetMode="External"/><Relationship Id="rId17" Type="http://schemas.openxmlformats.org/officeDocument/2006/relationships/hyperlink" Target="file:///C:\Users\1\Downloads\tx.dll%3fd=351989&amp;a=2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1\Downloads\tx.dll%3fd=351989&amp;a=27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1\Downloads\tx.dll%3fd=164665&amp;a=37" TargetMode="External"/><Relationship Id="rId11" Type="http://schemas.openxmlformats.org/officeDocument/2006/relationships/hyperlink" Target="file:///C:\Users\1\Downloads\tx.dll%3fd=447159&amp;a=248" TargetMode="External"/><Relationship Id="rId5" Type="http://schemas.openxmlformats.org/officeDocument/2006/relationships/hyperlink" Target="file:///C:\Users\1\Downloads\tx.dll%3fd=164665&amp;a=29" TargetMode="External"/><Relationship Id="rId15" Type="http://schemas.openxmlformats.org/officeDocument/2006/relationships/hyperlink" Target="file:///C:\Users\1\Downloads\tx.dll%3fd=351989&amp;a=8" TargetMode="External"/><Relationship Id="rId10" Type="http://schemas.openxmlformats.org/officeDocument/2006/relationships/hyperlink" Target="file:///C:\Users\1\Downloads\tx.dll%3fd=101489&amp;a=388" TargetMode="External"/><Relationship Id="rId19" Type="http://schemas.openxmlformats.org/officeDocument/2006/relationships/fontTable" Target="fontTable.xml"/><Relationship Id="rId4" Type="http://schemas.openxmlformats.org/officeDocument/2006/relationships/hyperlink" Target="file:///C:\Users\1\Downloads\tx.dll%3fd=101489&amp;a=120" TargetMode="External"/><Relationship Id="rId9" Type="http://schemas.openxmlformats.org/officeDocument/2006/relationships/hyperlink" Target="file:///C:\Users\1\Downloads\tx.dll%3fd=164665&amp;a=37" TargetMode="External"/><Relationship Id="rId14" Type="http://schemas.openxmlformats.org/officeDocument/2006/relationships/hyperlink" Target="file:///C:\Users\1\Downloads\tx.dll%3fd=55714&amp;a=2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2021-11-18T06:28:00Z</dcterms:created>
  <dcterms:modified xsi:type="dcterms:W3CDTF">2021-11-18T06:29:00Z</dcterms:modified>
</cp:coreProperties>
</file>